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 Preparation Plan</w:t>
      </w:r>
    </w:p>
    <w:p>
      <w:pPr>
        <w:spacing w:after="140"/>
      </w:pPr>
      <w:r>
        <w:t>Use this plan to divide exam content into manageable tasks and schedule active practice before the exam.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Course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Exam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Target score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Know What You Need to Learn</w:t>
            </w:r>
          </w:p>
        </w:tc>
      </w:tr>
    </w:tbl>
    <w:p>
      <w:r>
        <w:t>Topics and chapters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Break the Work Into Daily Tasks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Day or date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Topic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Active study method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Minutes</w:t>
            </w:r>
          </w:p>
        </w:tc>
        <w:tc>
          <w:tcPr>
            <w:tcW w:type="dxa" w:w="2131"/>
            <w:shd w:fill="082B5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Done</w:t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FFF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  <w:tr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  <w:tc>
          <w:tcPr>
            <w:tcW w:type="dxa" w:w="213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5F8FB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Final Readiness Check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completed practice questions without notes.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reviewed missed questions and weak areas.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can explain major concepts aloud.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planned sleep, meals, travel, and materials.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